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</w:rPr>
        <w:t xml:space="preserve">                                                   </w:t>
      </w:r>
      <w:r>
        <w:rPr>
          <w:rFonts w:cs="Times New Roman"/>
        </w:rPr>
        <w:t xml:space="preserve">        </w:t>
      </w:r>
      <w:r w:rsidRPr="00CA1697">
        <w:rPr>
          <w:rFonts w:cs="Times New Roman"/>
          <w:b/>
        </w:rPr>
        <w:t xml:space="preserve">PROGRAMMA 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 xml:space="preserve">                                                        </w:t>
      </w:r>
      <w:r>
        <w:rPr>
          <w:rFonts w:cs="Times New Roman"/>
          <w:b/>
        </w:rPr>
        <w:t xml:space="preserve">          </w:t>
      </w:r>
      <w:r w:rsidRPr="00CA1697">
        <w:rPr>
          <w:rFonts w:cs="Times New Roman"/>
          <w:b/>
        </w:rPr>
        <w:t>STORIA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 xml:space="preserve">                                            </w:t>
      </w:r>
      <w:r>
        <w:rPr>
          <w:rFonts w:cs="Times New Roman"/>
          <w:b/>
        </w:rPr>
        <w:t xml:space="preserve">              </w:t>
      </w:r>
      <w:r w:rsidR="00FE40BF">
        <w:rPr>
          <w:rFonts w:cs="Times New Roman"/>
          <w:b/>
        </w:rPr>
        <w:t>Classe IVA LES</w:t>
      </w:r>
      <w:bookmarkStart w:id="0" w:name="_GoBack"/>
      <w:bookmarkEnd w:id="0"/>
    </w:p>
    <w:p w:rsidR="002E45A1" w:rsidRPr="00CA1697" w:rsidRDefault="002E45A1" w:rsidP="002E45A1">
      <w:pPr>
        <w:jc w:val="center"/>
        <w:rPr>
          <w:rFonts w:cs="Times New Roman"/>
          <w:b/>
        </w:rPr>
      </w:pPr>
      <w:r>
        <w:rPr>
          <w:rFonts w:cs="Times New Roman"/>
          <w:b/>
        </w:rPr>
        <w:t>Anno scolastico 2025/26</w:t>
      </w:r>
    </w:p>
    <w:p w:rsidR="002E45A1" w:rsidRPr="00CA1697" w:rsidRDefault="002E45A1" w:rsidP="002E45A1">
      <w:pPr>
        <w:jc w:val="center"/>
        <w:rPr>
          <w:rFonts w:cs="Times New Roman"/>
          <w:b/>
        </w:rPr>
      </w:pPr>
      <w:r w:rsidRPr="00CA1697">
        <w:rPr>
          <w:rFonts w:cs="Times New Roman"/>
          <w:b/>
        </w:rPr>
        <w:t xml:space="preserve">Prof.ssa </w:t>
      </w:r>
      <w:proofErr w:type="spellStart"/>
      <w:r w:rsidRPr="00CA1697">
        <w:rPr>
          <w:rFonts w:cs="Times New Roman"/>
          <w:b/>
        </w:rPr>
        <w:t>Ferrarello</w:t>
      </w:r>
      <w:proofErr w:type="spellEnd"/>
      <w:r w:rsidRPr="00CA1697">
        <w:rPr>
          <w:rFonts w:cs="Times New Roman"/>
          <w:b/>
        </w:rPr>
        <w:t xml:space="preserve"> Emanuela</w:t>
      </w:r>
    </w:p>
    <w:p w:rsidR="002E45A1" w:rsidRPr="00CA1697" w:rsidRDefault="002E45A1" w:rsidP="002E45A1">
      <w:pPr>
        <w:jc w:val="center"/>
        <w:rPr>
          <w:rFonts w:cs="Times New Roman"/>
          <w:b/>
        </w:rPr>
      </w:pPr>
    </w:p>
    <w:p w:rsidR="002E45A1" w:rsidRPr="00CA1697" w:rsidRDefault="002E45A1" w:rsidP="002E45A1">
      <w:pPr>
        <w:rPr>
          <w:rFonts w:cs="Times New Roman"/>
          <w:b/>
        </w:rPr>
      </w:pP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RIFORMA PROTESTANTE E CONTRORIFORMA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Lutero e la dottrina della giustificazione per fede e del servo arbitrio (cenni)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Calvino: la teoria della predestinazione; promotore del </w:t>
      </w:r>
      <w:proofErr w:type="spellStart"/>
      <w:r w:rsidRPr="00CA1697">
        <w:rPr>
          <w:rFonts w:cs="Times New Roman"/>
        </w:rPr>
        <w:t>precapitalismo</w:t>
      </w:r>
      <w:proofErr w:type="spellEnd"/>
      <w:r w:rsidRPr="00CA1697">
        <w:rPr>
          <w:rFonts w:cs="Times New Roman"/>
        </w:rPr>
        <w:t>.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Stato confessionale e diffusione del calvinismo in Europa</w:t>
      </w:r>
    </w:p>
    <w:p w:rsidR="002E45A1" w:rsidRPr="00CA1697" w:rsidRDefault="002E45A1" w:rsidP="002E45A1">
      <w:pPr>
        <w:rPr>
          <w:rFonts w:cs="Times New Roman"/>
        </w:rPr>
      </w:pPr>
      <w:proofErr w:type="spellStart"/>
      <w:r w:rsidRPr="00CA1697">
        <w:rPr>
          <w:rFonts w:cs="Times New Roman"/>
        </w:rPr>
        <w:t>Max</w:t>
      </w:r>
      <w:proofErr w:type="spellEnd"/>
      <w:r w:rsidRPr="00CA1697">
        <w:rPr>
          <w:rFonts w:cs="Times New Roman"/>
        </w:rPr>
        <w:t xml:space="preserve"> Weber e Karl </w:t>
      </w:r>
      <w:proofErr w:type="spellStart"/>
      <w:r w:rsidRPr="00CA1697">
        <w:rPr>
          <w:rFonts w:cs="Times New Roman"/>
        </w:rPr>
        <w:t>Marx</w:t>
      </w:r>
      <w:proofErr w:type="spellEnd"/>
      <w:r w:rsidRPr="00CA1697">
        <w:rPr>
          <w:rFonts w:cs="Times New Roman"/>
        </w:rPr>
        <w:t xml:space="preserve"> riguardo la dottrina calvinista.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Riforma cattolica: risanamento morale 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Concilio di Trento e la Riforma disciplinare della Chiesa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I Gesuiti: Ignazio di Loyola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Tribunale dell’Inquisizione, la Congregazione del Sant’Uffizio e l’Indice dei libri proibiti.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La stregoneria, l’antisemitismo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Gli equilibri politici tra Cinquecento e Seicento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Dal Mediterraneo all’Atlantico. L’età di Filippo II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Le basi dell’egemonia spagnola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Filippo II: il sovrano della Controriforma; la monarchia “castigliana”, l’</w:t>
      </w:r>
      <w:proofErr w:type="spellStart"/>
      <w:r w:rsidRPr="00CA1697">
        <w:rPr>
          <w:rFonts w:cs="Times New Roman"/>
        </w:rPr>
        <w:t>Ercorial</w:t>
      </w:r>
      <w:proofErr w:type="spellEnd"/>
      <w:r w:rsidRPr="00CA1697">
        <w:rPr>
          <w:rFonts w:cs="Times New Roman"/>
        </w:rPr>
        <w:t>, l’intolleranza religiosa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La prima fase (1559-1565): il re prudente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La seconda fase (1565- 1580): tra Paesi Bassi e Mediterraneo; la nascita della Repubblica delle Province Unite nel 1581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La terza fase (1580-1598): l’Invincibile </w:t>
      </w:r>
      <w:proofErr w:type="spellStart"/>
      <w:r w:rsidRPr="00CA1697">
        <w:rPr>
          <w:rFonts w:cs="Times New Roman"/>
        </w:rPr>
        <w:t>Armada</w:t>
      </w:r>
      <w:proofErr w:type="spellEnd"/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Stato moderno: cenni sull’ereditarietà di Filippo II d’Asburgo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Carlo V e la fine dell’Impero germanico. La pace di </w:t>
      </w:r>
      <w:proofErr w:type="spellStart"/>
      <w:r w:rsidRPr="00CA1697">
        <w:rPr>
          <w:rFonts w:cs="Times New Roman"/>
        </w:rPr>
        <w:t>Chateau-Cambresis</w:t>
      </w:r>
      <w:proofErr w:type="spellEnd"/>
      <w:r w:rsidRPr="00CA1697">
        <w:rPr>
          <w:rFonts w:cs="Times New Roman"/>
        </w:rPr>
        <w:t xml:space="preserve"> nel 1559.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</w:rPr>
        <w:t xml:space="preserve"> Dieta di Worms tra Carlo V e Lutero nel 1521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Elisabetta I, regina d’Inghilterra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Elisabetta I e la politica d’equilibrio nel rapporto corona-parlamento; la cultura nell’età elisabettiana, la politica religiosa;  politica estera: Invincibile </w:t>
      </w:r>
      <w:proofErr w:type="spellStart"/>
      <w:r w:rsidRPr="00CA1697">
        <w:rPr>
          <w:rFonts w:cs="Times New Roman"/>
        </w:rPr>
        <w:t>Armada</w:t>
      </w:r>
      <w:proofErr w:type="spellEnd"/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Elisabetta I e Maria Stuart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Religione anglicana e presbiteriana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Errico VIII e la religione anglicana, il rapporto con i nobili e il Parlamento inglese. Thomas </w:t>
      </w:r>
      <w:proofErr w:type="spellStart"/>
      <w:r w:rsidRPr="00CA1697">
        <w:rPr>
          <w:rFonts w:cs="Times New Roman"/>
        </w:rPr>
        <w:t>Cromwell</w:t>
      </w:r>
      <w:proofErr w:type="spellEnd"/>
      <w:r w:rsidRPr="00CA1697">
        <w:rPr>
          <w:rFonts w:cs="Times New Roman"/>
        </w:rPr>
        <w:t xml:space="preserve"> e il Parlamento inglese: il potere teocratico del </w:t>
      </w:r>
      <w:proofErr w:type="spellStart"/>
      <w:r w:rsidRPr="00CA1697">
        <w:rPr>
          <w:rFonts w:cs="Times New Roman"/>
        </w:rPr>
        <w:t>sovranoNascita</w:t>
      </w:r>
      <w:proofErr w:type="spellEnd"/>
      <w:r w:rsidRPr="00CA1697">
        <w:rPr>
          <w:rFonts w:cs="Times New Roman"/>
        </w:rPr>
        <w:t xml:space="preserve"> dello scisma anglicano e la figura dei puritani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 xml:space="preserve">Guerre religiose: 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Francia e la reggenza di Caterina De Medici: la politica tollerante tra ugonotti e cattolici; le fazioni cattoliche e ugonotte, il matrimonio tra la figlia di Caterina ed Enrico di Borbone. La strage di S. Bartolomeo e </w:t>
      </w:r>
      <w:proofErr w:type="spellStart"/>
      <w:r w:rsidRPr="00CA1697">
        <w:rPr>
          <w:rFonts w:cs="Times New Roman"/>
        </w:rPr>
        <w:t>Vassy</w:t>
      </w:r>
      <w:proofErr w:type="spellEnd"/>
      <w:r w:rsidRPr="00CA1697">
        <w:rPr>
          <w:rFonts w:cs="Times New Roman"/>
        </w:rPr>
        <w:t xml:space="preserve">; la guerra dei tre </w:t>
      </w:r>
      <w:proofErr w:type="spellStart"/>
      <w:r w:rsidRPr="00CA1697">
        <w:rPr>
          <w:rFonts w:cs="Times New Roman"/>
        </w:rPr>
        <w:t>Enrichi</w:t>
      </w:r>
      <w:proofErr w:type="spellEnd"/>
      <w:r w:rsidRPr="00CA1697">
        <w:rPr>
          <w:rFonts w:cs="Times New Roman"/>
        </w:rPr>
        <w:t>.  l’Editto di Nantes con Enrico IV di Borbone(1579)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  <w:b/>
        </w:rPr>
      </w:pP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Crisi o trasformazione?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  <w:b/>
        </w:rPr>
        <w:t xml:space="preserve">ECONOMIA NEL’500: </w:t>
      </w:r>
      <w:r w:rsidRPr="00CA1697">
        <w:rPr>
          <w:rFonts w:cs="Times New Roman"/>
        </w:rPr>
        <w:t>l’</w:t>
      </w:r>
      <w:proofErr w:type="spellStart"/>
      <w:r w:rsidRPr="00CA1697">
        <w:rPr>
          <w:rFonts w:cs="Times New Roman"/>
        </w:rPr>
        <w:t>atlantizzazione</w:t>
      </w:r>
      <w:proofErr w:type="spellEnd"/>
      <w:r w:rsidRPr="00CA1697">
        <w:rPr>
          <w:rFonts w:cs="Times New Roman"/>
        </w:rPr>
        <w:t>: nuove rotte oceaniche</w:t>
      </w:r>
      <w:r w:rsidRPr="00CA1697">
        <w:rPr>
          <w:rFonts w:cs="Times New Roman"/>
          <w:b/>
        </w:rPr>
        <w:t xml:space="preserve">, </w:t>
      </w:r>
      <w:r w:rsidRPr="00CA1697">
        <w:rPr>
          <w:rFonts w:cs="Times New Roman"/>
        </w:rPr>
        <w:t xml:space="preserve">crescita demografica, </w:t>
      </w:r>
      <w:proofErr w:type="spellStart"/>
      <w:r w:rsidRPr="00CA1697">
        <w:rPr>
          <w:rFonts w:cs="Times New Roman"/>
        </w:rPr>
        <w:t>cerealizzazione</w:t>
      </w:r>
      <w:proofErr w:type="spellEnd"/>
      <w:r w:rsidRPr="00CA1697">
        <w:rPr>
          <w:rFonts w:cs="Times New Roman"/>
        </w:rPr>
        <w:t xml:space="preserve">, Rivoluzione dei prezzi: aumento dei metalli preziosi e della circolazione della moneta, aumento dei redditi dei ricchi, aumento dei prezzi ( più oro e argento e il valore della moneta diminuisce), della disuguaglianza sociale e l’inflazione: calo della domanda di acquisto, salari bassi e aumento della povertà. 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La crisi del’600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Calo demografico-economico: crescita diseguale in Europa, i limiti riguardo l’innovazione, </w:t>
      </w:r>
      <w:r w:rsidRPr="00CA1697">
        <w:rPr>
          <w:rFonts w:cs="Times New Roman"/>
        </w:rPr>
        <w:lastRenderedPageBreak/>
        <w:t>instabilità monetaria con il calo dei metalli preziosi (meno oro e argento e il valore della moneta aumenta), senza metalli preziosi si usano altri metalli e il valore della moneta crolla e aumentano i prezzi, se nessuno acquista si ha la diminuzione dei prezzi; ritorno al latifondo; calo demografico, clima, peste e guerre, pauperismo e banditismo.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La cultura nel’600: la cultura laica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Il Giusnaturalismo con Ugo </w:t>
      </w:r>
      <w:proofErr w:type="spellStart"/>
      <w:r w:rsidRPr="00CA1697">
        <w:rPr>
          <w:rFonts w:cs="Times New Roman"/>
        </w:rPr>
        <w:t>Grozio</w:t>
      </w:r>
      <w:proofErr w:type="spellEnd"/>
      <w:r w:rsidRPr="00CA1697">
        <w:rPr>
          <w:rFonts w:cs="Times New Roman"/>
        </w:rPr>
        <w:t>; l’Assolutismo: analisi del termine;  gerarchia piramidale dei sudditi, passaggio da suddito a cittadino con la Rivoluzione inglese e francese; Hobbes e il potere monarchico e il Leviatano; nuove teorie politiche: Contratto sociale secondo Hobbes; secondo il Liberalismo di Locke e secondo la democrazia di Rousseau; Rivoluzione scientifica e il metodo scientifico sperimentale; la rivoluzione copernicana; Bacone: il sostenitore della tecnica; la persecuzione della Chiesa; l'irrazionalità nel 1600: astrologia, stregoneria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  <w:b/>
        </w:rPr>
        <w:t>L’Italia sotto il dominio spagnolo</w:t>
      </w:r>
      <w:r w:rsidRPr="00CA1697">
        <w:rPr>
          <w:rFonts w:cs="Times New Roman"/>
        </w:rPr>
        <w:t>: cenni sulla politica spagnola in Italia; nascita dello Stato sabaudo; cenni sulle rivolte sociali e la figura di Masaniello.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  <w:b/>
        </w:rPr>
        <w:t xml:space="preserve">Cenni: </w:t>
      </w:r>
      <w:r w:rsidRPr="00CA1697">
        <w:rPr>
          <w:rFonts w:cs="Times New Roman"/>
        </w:rPr>
        <w:t xml:space="preserve">guerra dei Trent’anni (1618-1648): problema religioso-politico. Rodolfo II d’Asburgo e Mattia d’Asburgo: imposizione del cattolicesimo in Boemia e Ungheria: la Defenestrazione di Praga e il conflitto con l’aiuto francese contro gli Asburgo. La pace di </w:t>
      </w:r>
      <w:proofErr w:type="spellStart"/>
      <w:r w:rsidRPr="00CA1697">
        <w:rPr>
          <w:rFonts w:cs="Times New Roman"/>
        </w:rPr>
        <w:t>Westfalia</w:t>
      </w:r>
      <w:proofErr w:type="spellEnd"/>
      <w:r w:rsidRPr="00CA1697">
        <w:rPr>
          <w:rFonts w:cs="Times New Roman"/>
        </w:rPr>
        <w:t xml:space="preserve"> (1648)(importanza di tale pace in Europa nel futuro, cenni sugli Organi Internazionali nella storia). Nascita del Regno di Prussia, l’Impero Austro-Ungarico</w:t>
      </w:r>
    </w:p>
    <w:p w:rsidR="002E45A1" w:rsidRPr="00CA1697" w:rsidRDefault="002E45A1" w:rsidP="002E45A1">
      <w:pPr>
        <w:rPr>
          <w:rFonts w:cs="Times New Roman"/>
          <w:b/>
        </w:rPr>
      </w:pP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L’EUROPA NELLA META’ DEL’700: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cenni sulla guerra di successione spagnola (1714) e la pace di Utrecht (1713) e </w:t>
      </w:r>
      <w:proofErr w:type="spellStart"/>
      <w:r w:rsidRPr="00CA1697">
        <w:rPr>
          <w:rFonts w:cs="Times New Roman"/>
        </w:rPr>
        <w:t>Rastart</w:t>
      </w:r>
      <w:proofErr w:type="spellEnd"/>
      <w:r w:rsidRPr="00CA1697">
        <w:rPr>
          <w:rFonts w:cs="Times New Roman"/>
        </w:rPr>
        <w:t xml:space="preserve"> (1714): gli Asburgo dominano Milano, Napoli, Stato dei Presidi, i Savoia dominano la Sardegna, Piemonte e la Sicilia. Nascita del Regno di Sardegna con lo scambio con gli Asburgo la Sicilia. Cedimento del Regno di Napoli e Sicilia degli Asburgo ai Borboni di Spagna. Dopo la guerra di successione austriaca (1740-1748) con la pace di </w:t>
      </w:r>
      <w:proofErr w:type="spellStart"/>
      <w:r w:rsidRPr="00CA1697">
        <w:rPr>
          <w:rFonts w:cs="Times New Roman"/>
        </w:rPr>
        <w:t>Acquisgrana</w:t>
      </w:r>
      <w:proofErr w:type="spellEnd"/>
      <w:r w:rsidRPr="00CA1697">
        <w:rPr>
          <w:rFonts w:cs="Times New Roman"/>
        </w:rPr>
        <w:t>: il Ducato di Parma e Piacenza passò dagli Asburgo ai Borboni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Monarchia assoluta francese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Cenni sulla monarchia ministeriale di Richelieu e Mazzarino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La figura del re “sole” e la politica di Luigi XIV nel 1661; il giansenismo; </w:t>
      </w:r>
      <w:proofErr w:type="spellStart"/>
      <w:r w:rsidRPr="00CA1697">
        <w:rPr>
          <w:rFonts w:cs="Times New Roman"/>
        </w:rPr>
        <w:t>Colbert</w:t>
      </w:r>
      <w:proofErr w:type="spellEnd"/>
      <w:r w:rsidRPr="00CA1697">
        <w:rPr>
          <w:rFonts w:cs="Times New Roman"/>
        </w:rPr>
        <w:t xml:space="preserve"> e il sistema del mercantilismo; cenni sulla politica estera, guerra di successione spagnola nel 1714: sovranità spagnola del nipote di Luigi XIV, Filippo V di Borbone. Presenza degli Asburgo nel territorio italiano e dei Savoia.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La Rivoluzione inglese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L’Inghilterra nel’600: la società inglese dai Tudor agli Stuart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La nascita della bandiera inglese: Union Jack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La politica autoritaria di Carlo I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La Chiesa ufficiale divide il paese; il puritanesimo e la teoria calvinista; La Scozia e l’Irlanda; 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La prima rivoluzione inglese (1642-1660): la rivoluzione fra spinte conservatrici e istanze egualitarie; </w:t>
      </w:r>
      <w:proofErr w:type="spellStart"/>
      <w:r w:rsidRPr="00CA1697">
        <w:rPr>
          <w:rFonts w:cs="Times New Roman"/>
        </w:rPr>
        <w:t>Cromwell</w:t>
      </w:r>
      <w:proofErr w:type="spellEnd"/>
      <w:r w:rsidRPr="00CA1697">
        <w:rPr>
          <w:rFonts w:cs="Times New Roman"/>
        </w:rPr>
        <w:t xml:space="preserve"> e la dittatura militare; la seconda rivoluzione inglese: dalla restaurazione degli Stuart alla “gloriosa rivoluzione”; la Dichiarazione dei diritti dell’uomo nel 1689 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Cos’è l’Illuminismo secondo Kant? Empirismo, opinione pubblica, deismo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La cultura Illuminista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Illuminismo: ottimismo storico: l’uomo che fa la storia( la scienza con le leggi di Newton e la conoscenza della natura, le invenzioni, il progresso, il benessere sociale, la felicità.  Voltaire e il Deismo, tolleranza, la scrittura come forma di libertà, cosmopolitismo, pena di morte; Montesquieu e lo Spirito delle Leggi. La politica economica nel’700: il </w:t>
      </w:r>
      <w:proofErr w:type="spellStart"/>
      <w:r w:rsidRPr="00CA1697">
        <w:rPr>
          <w:rFonts w:cs="Times New Roman"/>
        </w:rPr>
        <w:t>fisiocraticismo</w:t>
      </w:r>
      <w:proofErr w:type="spellEnd"/>
      <w:r w:rsidRPr="00CA1697">
        <w:rPr>
          <w:rFonts w:cs="Times New Roman"/>
        </w:rPr>
        <w:t xml:space="preserve"> di Quesnay e il Liberismo di </w:t>
      </w:r>
      <w:proofErr w:type="spellStart"/>
      <w:r w:rsidRPr="00CA1697">
        <w:rPr>
          <w:rFonts w:cs="Times New Roman"/>
        </w:rPr>
        <w:t>A.Smith</w:t>
      </w:r>
      <w:proofErr w:type="spellEnd"/>
      <w:r w:rsidRPr="00CA1697">
        <w:rPr>
          <w:rFonts w:cs="Times New Roman"/>
        </w:rPr>
        <w:t xml:space="preserve">; 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  <w:b/>
        </w:rPr>
        <w:t>Rivoluzione industriale</w:t>
      </w:r>
      <w:r w:rsidRPr="00CA1697">
        <w:rPr>
          <w:rFonts w:cs="Times New Roman"/>
        </w:rPr>
        <w:t>: invenzione della macchina a vapore, il carbon fossile, macchina tessile, le ferrovie. Aspetti positivi: crescita economiche con le fabbriche; aspetti negativi: sfruttamento della classe operaia (questione sociale): Luddismo</w:t>
      </w:r>
    </w:p>
    <w:p w:rsidR="002E45A1" w:rsidRPr="00CA1697" w:rsidRDefault="002E45A1" w:rsidP="002E45A1">
      <w:pPr>
        <w:rPr>
          <w:rFonts w:cs="Times New Roman"/>
          <w:b/>
        </w:rPr>
      </w:pP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  <w:b/>
        </w:rPr>
        <w:t>Dispotismo illuminato</w:t>
      </w:r>
      <w:r w:rsidRPr="00CA1697">
        <w:rPr>
          <w:rFonts w:cs="Times New Roman"/>
        </w:rPr>
        <w:t>: riforme e giurisdizionalismo. Gli Asburgo in Austria: il catasto, la pena di morte, la tortura e abolizione della schiavitù. Federico II di Prussia e la politica moderna. La Prussia contribuirà alla nascita del secondo Reich con Bismark (1870).  La Russia dei Romanov (cenni sullo zar Pietro il Grande) e la zar Caterina II.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  <w:b/>
        </w:rPr>
        <w:t xml:space="preserve">Rivoluzione americana: </w:t>
      </w:r>
      <w:r w:rsidRPr="00CA1697">
        <w:rPr>
          <w:rFonts w:cs="Times New Roman"/>
        </w:rPr>
        <w:t>le 13 colonie inglesi, la bandiera americana,  le religioni diverse nelle colonie, la nascita degli Stati Uniti d’America nel 1776.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  <w:b/>
        </w:rPr>
        <w:t xml:space="preserve">Rivoluzione francese: </w:t>
      </w:r>
      <w:r w:rsidRPr="00CA1697">
        <w:rPr>
          <w:rFonts w:cs="Times New Roman"/>
        </w:rPr>
        <w:t>dalla presa della Bastiglia alla Dichiarazione dei Diritti dell’uomo e del cittadino (1789); nascita dei club politici; la figura di Robespierre con la Repubblica, la politica del Terrore, il Direttorio e il periodo di transizione dopo Robespierre (1794-1797):  la rapida ascesa di Napoleone Bonaparte da generale ( campagna d’Italia, le Repubbliche sorelle, la campagna d’Egitto,) fase consolare (1798/1804): colpo di Stato a Parigi, politica consolare :riforme interne; fase imperiale (1804/1814): cenni sulla politica estera, la campagna di Russia (1812), la battaglia di Lipsia(1813) e il crollo dell’Impero napoleonico: esilio all’isola d’Elba (1814), i 100 giorni a Parigi (1815) e sconfitta a Waterloo (1815).</w:t>
      </w:r>
    </w:p>
    <w:p w:rsidR="002E45A1" w:rsidRPr="00CA1697" w:rsidRDefault="002E45A1" w:rsidP="002E45A1">
      <w:pPr>
        <w:rPr>
          <w:rFonts w:cs="Times New Roman"/>
          <w:b/>
        </w:rPr>
      </w:pP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ETA’ DELLA RESTAURAZIONE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Cenni sul Romanticismo: sentimento politico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Riassetto geopolitico dell’Europa: Congresso di Vienna (1814/1815): principio di legittimità, principio di equilibrio, principio di intervento (</w:t>
      </w:r>
      <w:proofErr w:type="spellStart"/>
      <w:r w:rsidRPr="00CA1697">
        <w:rPr>
          <w:rFonts w:cs="Times New Roman"/>
        </w:rPr>
        <w:t>S.Alleanza</w:t>
      </w:r>
      <w:proofErr w:type="spellEnd"/>
      <w:r w:rsidRPr="00CA1697">
        <w:rPr>
          <w:rFonts w:cs="Times New Roman"/>
        </w:rPr>
        <w:t>= Russia, Prussia, Austria)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Società segrete: opposizioni liberali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Carboneria in Italia: i moti del’20 a Nola, Palermo; i moti del’21 in Piemonte: Carlo Felice e Carlo Alberto di Savoia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Cenni sulla monarchia in Francia nel 1830: monarchia costituzionale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Moti del’31 a Modena: cenni su Ciro Menotti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Risorgimento italiano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Mazzini: il fideismo mazziniano (Dio-popolo- Pensiero-azione), Giovane Italia e Giovane Europa.</w:t>
      </w:r>
    </w:p>
    <w:p w:rsidR="002E45A1" w:rsidRDefault="002E45A1" w:rsidP="002E45A1">
      <w:pPr>
        <w:rPr>
          <w:rFonts w:cs="Times New Roman"/>
        </w:rPr>
      </w:pPr>
    </w:p>
    <w:p w:rsidR="002E45A1" w:rsidRPr="00160803" w:rsidRDefault="002E45A1" w:rsidP="002E45A1">
      <w:pPr>
        <w:rPr>
          <w:rFonts w:cs="Times New Roman"/>
          <w:b/>
        </w:rPr>
      </w:pPr>
      <w:r w:rsidRPr="00160803">
        <w:rPr>
          <w:rFonts w:cs="Times New Roman"/>
          <w:b/>
        </w:rPr>
        <w:t>UDA 1: L’infanzia: diritti, educazione e società.</w:t>
      </w:r>
    </w:p>
    <w:p w:rsidR="002E45A1" w:rsidRPr="00160803" w:rsidRDefault="002E45A1" w:rsidP="002E45A1">
      <w:pPr>
        <w:rPr>
          <w:rFonts w:cs="Times New Roman"/>
          <w:b/>
        </w:rPr>
      </w:pPr>
      <w:r w:rsidRPr="00160803">
        <w:rPr>
          <w:rFonts w:cs="Times New Roman"/>
          <w:b/>
        </w:rPr>
        <w:t xml:space="preserve"> XX secolo: infanzia e industrializzazione: i</w:t>
      </w:r>
      <w:r w:rsidR="00160803">
        <w:rPr>
          <w:rFonts w:cs="Times New Roman"/>
          <w:b/>
        </w:rPr>
        <w:t xml:space="preserve"> diritti dei bambini nel XX sec</w:t>
      </w:r>
      <w:r w:rsidRPr="00160803">
        <w:rPr>
          <w:rFonts w:cs="Times New Roman"/>
          <w:b/>
        </w:rPr>
        <w:t>olo</w:t>
      </w:r>
    </w:p>
    <w:p w:rsidR="002E45A1" w:rsidRPr="00160803" w:rsidRDefault="002E45A1" w:rsidP="002E45A1">
      <w:pPr>
        <w:rPr>
          <w:rFonts w:cs="Times New Roman"/>
          <w:b/>
        </w:rPr>
      </w:pPr>
    </w:p>
    <w:p w:rsidR="002E45A1" w:rsidRPr="00160803" w:rsidRDefault="002E45A1" w:rsidP="002E45A1">
      <w:pPr>
        <w:rPr>
          <w:rFonts w:cs="Times New Roman"/>
          <w:b/>
        </w:rPr>
      </w:pPr>
      <w:r w:rsidRPr="00160803">
        <w:rPr>
          <w:rFonts w:cs="Times New Roman"/>
          <w:b/>
        </w:rPr>
        <w:t>UDA 2: L’adolescenza tra identità, relazioni e società contemporanea: crescere in un mondo che cambia.</w:t>
      </w:r>
    </w:p>
    <w:p w:rsidR="00160803" w:rsidRDefault="00160803" w:rsidP="00160803">
      <w:pPr>
        <w:tabs>
          <w:tab w:val="left" w:pos="2980"/>
        </w:tabs>
        <w:rPr>
          <w:rFonts w:asciiTheme="minorHAnsi" w:eastAsiaTheme="minorHAnsi" w:hAnsiTheme="minorHAnsi" w:cstheme="minorBidi"/>
          <w:b/>
          <w:kern w:val="0"/>
          <w:sz w:val="22"/>
          <w:szCs w:val="22"/>
          <w:lang w:eastAsia="en-US" w:bidi="ar-SA"/>
        </w:rPr>
      </w:pPr>
      <w:r w:rsidRPr="00160803">
        <w:rPr>
          <w:b/>
        </w:rPr>
        <w:t xml:space="preserve">Anni 60/70:  </w:t>
      </w:r>
      <w:r w:rsidR="002E45A1" w:rsidRPr="00160803">
        <w:rPr>
          <w:b/>
        </w:rPr>
        <w:t>DA OBBEDIENZA A IDENTITA’ PERSONALE</w:t>
      </w:r>
      <w:r w:rsidRPr="00160803">
        <w:rPr>
          <w:b/>
        </w:rPr>
        <w:t xml:space="preserve">; </w:t>
      </w:r>
      <w:r w:rsidRPr="00160803">
        <w:rPr>
          <w:b/>
        </w:rPr>
        <w:t>DA SOGGETTO PASSIVO A SOGGETTO POLITICO: IL GIOVANE DIVENTA SOGGETTO POLITICO</w:t>
      </w:r>
      <w:r w:rsidRPr="00160803">
        <w:rPr>
          <w:b/>
        </w:rPr>
        <w:t xml:space="preserve">; OGGI: </w:t>
      </w:r>
      <w:r w:rsidRPr="00160803">
        <w:rPr>
          <w:rFonts w:asciiTheme="minorHAnsi" w:eastAsiaTheme="minorHAnsi" w:hAnsiTheme="minorHAnsi" w:cstheme="minorBidi"/>
          <w:b/>
          <w:kern w:val="0"/>
          <w:sz w:val="22"/>
          <w:szCs w:val="22"/>
          <w:lang w:eastAsia="en-US" w:bidi="ar-SA"/>
        </w:rPr>
        <w:t>L’ADOLESCENZA SI VIVE IN RELAZIONE AI PROBLEMI GLOBALI: clima, salute, guerra- non solo al quartiere e alla famiglia.</w:t>
      </w:r>
    </w:p>
    <w:p w:rsidR="00160803" w:rsidRDefault="00160803" w:rsidP="00160803">
      <w:pPr>
        <w:tabs>
          <w:tab w:val="left" w:pos="2980"/>
        </w:tabs>
        <w:rPr>
          <w:rFonts w:asciiTheme="minorHAnsi" w:eastAsiaTheme="minorHAnsi" w:hAnsiTheme="minorHAnsi" w:cstheme="minorBidi"/>
          <w:b/>
          <w:kern w:val="0"/>
          <w:sz w:val="22"/>
          <w:szCs w:val="22"/>
          <w:lang w:eastAsia="en-US" w:bidi="ar-SA"/>
        </w:rPr>
      </w:pPr>
    </w:p>
    <w:p w:rsidR="00160803" w:rsidRDefault="00160803" w:rsidP="00160803">
      <w:pPr>
        <w:tabs>
          <w:tab w:val="left" w:pos="2980"/>
        </w:tabs>
        <w:rPr>
          <w:rFonts w:asciiTheme="minorHAnsi" w:eastAsiaTheme="minorHAnsi" w:hAnsiTheme="minorHAnsi" w:cstheme="minorBidi"/>
          <w:b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Bidi"/>
          <w:b/>
          <w:kern w:val="0"/>
          <w:sz w:val="22"/>
          <w:szCs w:val="22"/>
          <w:lang w:eastAsia="en-US" w:bidi="ar-SA"/>
        </w:rPr>
        <w:t>EDUCAZIONE CIVICA: Quando l’ambiente decide i diritti: vulnerabilità, disuguaglianze e giustizia climatica dal’900 ad oggi</w:t>
      </w:r>
    </w:p>
    <w:p w:rsidR="003559D8" w:rsidRPr="00160803" w:rsidRDefault="003559D8" w:rsidP="00160803">
      <w:pPr>
        <w:tabs>
          <w:tab w:val="left" w:pos="2980"/>
        </w:tabs>
        <w:rPr>
          <w:rFonts w:asciiTheme="minorHAnsi" w:eastAsiaTheme="minorHAnsi" w:hAnsiTheme="minorHAnsi" w:cstheme="minorBidi"/>
          <w:b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Bidi"/>
          <w:b/>
          <w:kern w:val="0"/>
          <w:sz w:val="22"/>
          <w:szCs w:val="22"/>
          <w:lang w:eastAsia="en-US" w:bidi="ar-SA"/>
        </w:rPr>
        <w:t>Dalle radici (1900) al 2000: il clima diventa una questione di diritti.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. 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</w:rPr>
        <w:t>Se</w:t>
      </w:r>
      <w:r>
        <w:rPr>
          <w:rFonts w:cs="Times New Roman"/>
        </w:rPr>
        <w:t>zze, 08/06/2026</w:t>
      </w:r>
      <w:r w:rsidRPr="00CA1697">
        <w:rPr>
          <w:rFonts w:cs="Times New Roman"/>
        </w:rPr>
        <w:t xml:space="preserve">                                                           </w:t>
      </w:r>
      <w:r w:rsidRPr="00CA1697">
        <w:rPr>
          <w:rFonts w:cs="Times New Roman"/>
          <w:b/>
        </w:rPr>
        <w:t>L’insegnante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  <w:b/>
        </w:rPr>
      </w:pP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</w:rPr>
      </w:pPr>
    </w:p>
    <w:p w:rsidR="00EB65EA" w:rsidRDefault="00BE4BFF"/>
    <w:sectPr w:rsidR="00EB65E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93844"/>
    <w:multiLevelType w:val="hybridMultilevel"/>
    <w:tmpl w:val="FFA4C4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A1"/>
    <w:rsid w:val="000700B2"/>
    <w:rsid w:val="00160803"/>
    <w:rsid w:val="002E45A1"/>
    <w:rsid w:val="003559D8"/>
    <w:rsid w:val="00390299"/>
    <w:rsid w:val="00975D4D"/>
    <w:rsid w:val="00AF0FCD"/>
    <w:rsid w:val="00C1336A"/>
    <w:rsid w:val="00FE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E45A1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75D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75D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75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75D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75D4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975D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essunaspaziatura">
    <w:name w:val="No Spacing"/>
    <w:uiPriority w:val="1"/>
    <w:qFormat/>
    <w:rsid w:val="00975D4D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975D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E45A1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75D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75D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75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75D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75D4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975D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essunaspaziatura">
    <w:name w:val="No Spacing"/>
    <w:uiPriority w:val="1"/>
    <w:qFormat/>
    <w:rsid w:val="00975D4D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975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ferrarello</dc:creator>
  <cp:lastModifiedBy>emanuela ferrarello</cp:lastModifiedBy>
  <cp:revision>2</cp:revision>
  <dcterms:created xsi:type="dcterms:W3CDTF">2026-06-02T15:18:00Z</dcterms:created>
  <dcterms:modified xsi:type="dcterms:W3CDTF">2026-06-02T15:18:00Z</dcterms:modified>
</cp:coreProperties>
</file>